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32685" w14:textId="77777777" w:rsidR="00D6133E" w:rsidRDefault="00D6133E" w:rsidP="00D613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Subject: HIPAA Security Policies &amp; Procedures</w:t>
      </w:r>
    </w:p>
    <w:p w14:paraId="12696621" w14:textId="43422AF9" w:rsidR="00D6133E" w:rsidRPr="00D6133E" w:rsidRDefault="00D6133E" w:rsidP="00D6133E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Title: </w:t>
      </w:r>
      <w:r w:rsidR="002849C0">
        <w:rPr>
          <w:sz w:val="24"/>
          <w:szCs w:val="24"/>
        </w:rPr>
        <w:t xml:space="preserve"> </w:t>
      </w:r>
      <w:r w:rsidR="00650380">
        <w:rPr>
          <w:sz w:val="24"/>
          <w:szCs w:val="24"/>
        </w:rPr>
        <w:t>Accountability</w:t>
      </w:r>
      <w:r w:rsidR="004F7EB9">
        <w:rPr>
          <w:sz w:val="24"/>
          <w:szCs w:val="24"/>
        </w:rPr>
        <w:t xml:space="preserve"> Policy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6133E" w14:paraId="701FD65D" w14:textId="77777777" w:rsidTr="001A2893">
        <w:trPr>
          <w:trHeight w:val="359"/>
        </w:trPr>
        <w:tc>
          <w:tcPr>
            <w:tcW w:w="11016" w:type="dxa"/>
          </w:tcPr>
          <w:p w14:paraId="707FC119" w14:textId="77777777" w:rsidR="00D6133E" w:rsidRDefault="00D6133E" w:rsidP="001A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HIPAA Security Officer </w:t>
            </w:r>
          </w:p>
        </w:tc>
      </w:tr>
    </w:tbl>
    <w:p w14:paraId="106F9869" w14:textId="77777777" w:rsidR="00D6133E" w:rsidRDefault="00D6133E" w:rsidP="00D6133E">
      <w:pPr>
        <w:rPr>
          <w:sz w:val="24"/>
          <w:szCs w:val="24"/>
        </w:rPr>
      </w:pPr>
      <w:r>
        <w:rPr>
          <w:sz w:val="24"/>
          <w:szCs w:val="24"/>
        </w:rPr>
        <w:t>HIPAA Regulatory Information:</w:t>
      </w:r>
      <w:r w:rsidR="004F1A1D">
        <w:rPr>
          <w:sz w:val="24"/>
          <w:szCs w:val="24"/>
        </w:rPr>
        <w:t xml:space="preserve"> Device and Media Control Standard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140"/>
        <w:gridCol w:w="990"/>
        <w:gridCol w:w="4518"/>
      </w:tblGrid>
      <w:tr w:rsidR="00D6133E" w14:paraId="14F6AE4C" w14:textId="77777777" w:rsidTr="00D53A00">
        <w:tc>
          <w:tcPr>
            <w:tcW w:w="1368" w:type="dxa"/>
          </w:tcPr>
          <w:p w14:paraId="2436B9E8" w14:textId="77777777" w:rsidR="00D6133E" w:rsidRDefault="00D6133E" w:rsidP="00D61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Category:</w:t>
            </w:r>
          </w:p>
        </w:tc>
        <w:tc>
          <w:tcPr>
            <w:tcW w:w="4140" w:type="dxa"/>
          </w:tcPr>
          <w:p w14:paraId="6286B0E0" w14:textId="77777777" w:rsidR="00D6133E" w:rsidRDefault="00713268" w:rsidP="00D6133E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DE7">
              <w:instrText xml:space="preserve"> FORMCHECKBOX </w:instrText>
            </w:r>
            <w:r w:rsidR="00271B74">
              <w:fldChar w:fldCharType="separate"/>
            </w:r>
            <w:r>
              <w:fldChar w:fldCharType="end"/>
            </w:r>
            <w:r w:rsidR="00837F73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D6133E">
              <w:rPr>
                <w:sz w:val="24"/>
                <w:szCs w:val="24"/>
              </w:rPr>
              <w:t>Administrative Safeguard</w:t>
            </w:r>
          </w:p>
          <w:p w14:paraId="643C7909" w14:textId="77777777" w:rsidR="00D6133E" w:rsidRDefault="00713268" w:rsidP="00D6133E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F25">
              <w:instrText xml:space="preserve"> FORMCHECKBOX </w:instrText>
            </w:r>
            <w:r w:rsidR="00271B74">
              <w:fldChar w:fldCharType="separate"/>
            </w:r>
            <w:r>
              <w:fldChar w:fldCharType="end"/>
            </w:r>
            <w:r w:rsidR="00837F73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D6133E">
              <w:rPr>
                <w:sz w:val="24"/>
                <w:szCs w:val="24"/>
              </w:rPr>
              <w:t>Physical Safeguard</w:t>
            </w:r>
          </w:p>
          <w:p w14:paraId="7EFC2B2D" w14:textId="77777777" w:rsidR="00D6133E" w:rsidRDefault="00713268" w:rsidP="00D6133E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7F73">
              <w:instrText xml:space="preserve"> FORMCHECKBOX </w:instrText>
            </w:r>
            <w:r w:rsidR="00271B74">
              <w:fldChar w:fldCharType="separate"/>
            </w:r>
            <w:r>
              <w:fldChar w:fldCharType="end"/>
            </w:r>
            <w:r w:rsidR="00837F73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D6133E">
              <w:rPr>
                <w:sz w:val="24"/>
                <w:szCs w:val="24"/>
              </w:rPr>
              <w:t>Technical Safeguard</w:t>
            </w:r>
          </w:p>
        </w:tc>
        <w:tc>
          <w:tcPr>
            <w:tcW w:w="990" w:type="dxa"/>
          </w:tcPr>
          <w:p w14:paraId="2B11668B" w14:textId="77777777" w:rsidR="00D6133E" w:rsidRDefault="00D53A00" w:rsidP="00D61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</w:tc>
        <w:tc>
          <w:tcPr>
            <w:tcW w:w="4518" w:type="dxa"/>
          </w:tcPr>
          <w:p w14:paraId="5597AC73" w14:textId="77777777" w:rsidR="00D6133E" w:rsidRDefault="00713268" w:rsidP="00D6133E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FDF">
              <w:instrText xml:space="preserve"> FORMCHECKBOX </w:instrText>
            </w:r>
            <w:r w:rsidR="00271B74">
              <w:fldChar w:fldCharType="separate"/>
            </w:r>
            <w:r>
              <w:fldChar w:fldCharType="end"/>
            </w:r>
            <w:r w:rsidR="00837F73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D53A00">
              <w:rPr>
                <w:sz w:val="24"/>
                <w:szCs w:val="24"/>
              </w:rPr>
              <w:t>Standard</w:t>
            </w:r>
          </w:p>
          <w:p w14:paraId="36BF9C55" w14:textId="77777777" w:rsidR="00D53A00" w:rsidRDefault="00713268" w:rsidP="00D6133E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F7FDF">
              <w:instrText xml:space="preserve"> FORMCHECKBOX </w:instrText>
            </w:r>
            <w:r w:rsidR="00271B74">
              <w:fldChar w:fldCharType="separate"/>
            </w:r>
            <w:r>
              <w:fldChar w:fldCharType="end"/>
            </w:r>
            <w:r w:rsidR="00837F73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D53A00">
              <w:rPr>
                <w:sz w:val="24"/>
                <w:szCs w:val="24"/>
              </w:rPr>
              <w:t>Implementation Specification</w:t>
            </w:r>
          </w:p>
          <w:p w14:paraId="6FDD3993" w14:textId="560005E0" w:rsidR="00D53A00" w:rsidRDefault="00D53A00" w:rsidP="00060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06090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902">
              <w:instrText xml:space="preserve"> FORMCHECKBOX </w:instrText>
            </w:r>
            <w:r w:rsidR="00271B74">
              <w:fldChar w:fldCharType="separate"/>
            </w:r>
            <w:r w:rsidR="00060902">
              <w:fldChar w:fldCharType="end"/>
            </w:r>
            <w:r w:rsidR="00837F73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 xml:space="preserve">Required         </w:t>
            </w:r>
            <w:r w:rsidR="0006090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60902">
              <w:instrText xml:space="preserve"> FORMCHECKBOX </w:instrText>
            </w:r>
            <w:r w:rsidR="00271B74">
              <w:fldChar w:fldCharType="separate"/>
            </w:r>
            <w:r w:rsidR="00060902">
              <w:fldChar w:fldCharType="end"/>
            </w:r>
            <w:r w:rsidR="00837F73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Addressable</w:t>
            </w:r>
          </w:p>
        </w:tc>
      </w:tr>
    </w:tbl>
    <w:p w14:paraId="568950AE" w14:textId="77777777" w:rsidR="008A1F25" w:rsidRDefault="00D53A00" w:rsidP="008A1F25">
      <w:pPr>
        <w:pBdr>
          <w:bottom w:val="single" w:sz="12" w:space="1" w:color="auto"/>
        </w:pBdr>
        <w:tabs>
          <w:tab w:val="left" w:pos="1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14:paraId="6CE91074" w14:textId="77777777" w:rsidR="008A1F25" w:rsidRPr="0055740E" w:rsidRDefault="0055740E" w:rsidP="008A1F25">
      <w:pPr>
        <w:tabs>
          <w:tab w:val="left" w:pos="1680"/>
        </w:tabs>
        <w:spacing w:after="0" w:line="240" w:lineRule="auto"/>
        <w:rPr>
          <w:b/>
          <w:sz w:val="24"/>
          <w:szCs w:val="24"/>
        </w:rPr>
      </w:pPr>
      <w:r w:rsidRPr="0055740E">
        <w:rPr>
          <w:b/>
          <w:sz w:val="24"/>
          <w:szCs w:val="24"/>
        </w:rPr>
        <w:t>BACKGROUND:</w:t>
      </w:r>
    </w:p>
    <w:p w14:paraId="44292BE6" w14:textId="0CD89E38" w:rsidR="0055740E" w:rsidRDefault="0055740E" w:rsidP="0055740E">
      <w:pPr>
        <w:pStyle w:val="PageContent"/>
        <w:spacing w:before="0" w:after="0"/>
        <w:rPr>
          <w:rFonts w:ascii="Calibri" w:hAnsi="Calibri"/>
          <w:sz w:val="24"/>
          <w:szCs w:val="24"/>
        </w:rPr>
      </w:pPr>
      <w:r w:rsidRPr="00C8557F">
        <w:rPr>
          <w:rFonts w:ascii="Calibri" w:hAnsi="Calibri"/>
          <w:sz w:val="24"/>
          <w:szCs w:val="24"/>
        </w:rPr>
        <w:t xml:space="preserve">The Health Insurance Portability and Accountability Act of 1996 </w:t>
      </w:r>
      <w:r w:rsidRPr="00C8557F">
        <w:rPr>
          <w:rFonts w:ascii="Calibri" w:hAnsi="Calibri"/>
          <w:i/>
          <w:sz w:val="24"/>
          <w:szCs w:val="24"/>
          <w:u w:val="single"/>
        </w:rPr>
        <w:t>(HIPAA)</w:t>
      </w:r>
      <w:r w:rsidRPr="00C8557F">
        <w:rPr>
          <w:rFonts w:ascii="Calibri" w:hAnsi="Calibri"/>
          <w:sz w:val="24"/>
          <w:szCs w:val="24"/>
        </w:rPr>
        <w:t xml:space="preserve"> requires that access to Protected Health Information (PHI) shall be managed to guard the integrity, confidentiality, and availability of electronic </w:t>
      </w:r>
      <w:bookmarkStart w:id="0" w:name="_GoBack"/>
      <w:r w:rsidRPr="00C8557F">
        <w:rPr>
          <w:rFonts w:ascii="Calibri" w:hAnsi="Calibri"/>
          <w:sz w:val="24"/>
          <w:szCs w:val="24"/>
        </w:rPr>
        <w:t xml:space="preserve">PHI </w:t>
      </w:r>
      <w:r w:rsidRPr="00C8557F">
        <w:rPr>
          <w:rFonts w:ascii="Calibri" w:hAnsi="Calibri"/>
          <w:i/>
          <w:sz w:val="24"/>
          <w:szCs w:val="24"/>
          <w:u w:val="single"/>
        </w:rPr>
        <w:t>(</w:t>
      </w:r>
      <w:proofErr w:type="spellStart"/>
      <w:r w:rsidRPr="00C8557F">
        <w:rPr>
          <w:rFonts w:ascii="Calibri" w:hAnsi="Calibri"/>
          <w:i/>
          <w:sz w:val="24"/>
          <w:szCs w:val="24"/>
          <w:u w:val="single"/>
        </w:rPr>
        <w:t>ePHI</w:t>
      </w:r>
      <w:proofErr w:type="spellEnd"/>
      <w:r w:rsidRPr="00C8557F">
        <w:rPr>
          <w:rFonts w:ascii="Calibri" w:hAnsi="Calibri"/>
          <w:i/>
          <w:sz w:val="24"/>
          <w:szCs w:val="24"/>
          <w:u w:val="single"/>
        </w:rPr>
        <w:t>)</w:t>
      </w:r>
      <w:r w:rsidRPr="00C8557F">
        <w:rPr>
          <w:rFonts w:ascii="Calibri" w:hAnsi="Calibri"/>
          <w:sz w:val="24"/>
          <w:szCs w:val="24"/>
        </w:rPr>
        <w:t xml:space="preserve"> </w:t>
      </w:r>
      <w:bookmarkEnd w:id="0"/>
      <w:r w:rsidRPr="00C8557F">
        <w:rPr>
          <w:rFonts w:ascii="Calibri" w:hAnsi="Calibri"/>
          <w:sz w:val="24"/>
          <w:szCs w:val="24"/>
        </w:rPr>
        <w:t xml:space="preserve">data.  According to the law, </w:t>
      </w:r>
      <w:r w:rsidR="006D3707">
        <w:rPr>
          <w:rFonts w:ascii="Calibri" w:hAnsi="Calibri"/>
          <w:sz w:val="24"/>
          <w:szCs w:val="24"/>
        </w:rPr>
        <w:t>[organization]</w:t>
      </w:r>
      <w:r w:rsidRPr="00C8557F">
        <w:rPr>
          <w:rFonts w:ascii="Calibri" w:hAnsi="Calibri"/>
          <w:sz w:val="24"/>
          <w:szCs w:val="24"/>
        </w:rPr>
        <w:t xml:space="preserve"> must preserve the integrity and the confidentiality of individually identifiable health information </w:t>
      </w:r>
      <w:r w:rsidRPr="00C8557F">
        <w:rPr>
          <w:rFonts w:ascii="Calibri" w:hAnsi="Calibri"/>
          <w:i/>
          <w:sz w:val="24"/>
          <w:szCs w:val="24"/>
          <w:u w:val="single"/>
        </w:rPr>
        <w:t>(IIHI)</w:t>
      </w:r>
      <w:r w:rsidRPr="00C8557F">
        <w:rPr>
          <w:rFonts w:ascii="Calibri" w:hAnsi="Calibri"/>
          <w:sz w:val="24"/>
          <w:szCs w:val="24"/>
        </w:rPr>
        <w:t xml:space="preserve"> pertaining to each patient or client.</w:t>
      </w:r>
    </w:p>
    <w:p w14:paraId="7A85F6D6" w14:textId="77777777" w:rsidR="0055740E" w:rsidRPr="00C8557F" w:rsidRDefault="0055740E" w:rsidP="0055740E">
      <w:pPr>
        <w:pStyle w:val="PageContent"/>
        <w:spacing w:before="0" w:after="0"/>
        <w:rPr>
          <w:rFonts w:ascii="Calibri" w:hAnsi="Calibri"/>
          <w:sz w:val="24"/>
          <w:szCs w:val="24"/>
        </w:rPr>
      </w:pPr>
      <w:r w:rsidRPr="00C8557F">
        <w:rPr>
          <w:rFonts w:ascii="Calibri" w:hAnsi="Calibri"/>
          <w:sz w:val="24"/>
          <w:szCs w:val="24"/>
        </w:rPr>
        <w:fldChar w:fldCharType="begin"/>
      </w:r>
      <w:r w:rsidRPr="00C8557F">
        <w:rPr>
          <w:rFonts w:ascii="Calibri" w:hAnsi="Calibri"/>
          <w:sz w:val="24"/>
          <w:szCs w:val="24"/>
        </w:rPr>
        <w:instrText xml:space="preserve"> FILLIN  "Insert Text Here"  \* MERGEFORMAT </w:instrText>
      </w:r>
      <w:r w:rsidRPr="00C8557F">
        <w:rPr>
          <w:rFonts w:ascii="Calibri" w:hAnsi="Calibri"/>
          <w:sz w:val="24"/>
          <w:szCs w:val="24"/>
        </w:rPr>
        <w:fldChar w:fldCharType="end"/>
      </w:r>
    </w:p>
    <w:p w14:paraId="005B593F" w14:textId="77777777" w:rsidR="0055740E" w:rsidRPr="00C8557F" w:rsidRDefault="0055740E" w:rsidP="0055740E">
      <w:pPr>
        <w:pStyle w:val="Default"/>
        <w:rPr>
          <w:rFonts w:ascii="Calibri" w:hAnsi="Calibri" w:cs="Arial"/>
          <w:bCs/>
        </w:rPr>
      </w:pPr>
      <w:r w:rsidRPr="00C8557F">
        <w:rPr>
          <w:rFonts w:ascii="Calibri" w:hAnsi="Calibri" w:cs="Arial"/>
          <w:bCs/>
        </w:rPr>
        <w:t xml:space="preserve">SECURITY REGULATION IMPLEMENTATION SPECIFICATION LANGUAGE: </w:t>
      </w:r>
    </w:p>
    <w:p w14:paraId="4B7B6FC5" w14:textId="77777777" w:rsidR="00F02090" w:rsidRPr="000560BB" w:rsidRDefault="00F02090" w:rsidP="00F02090">
      <w:pPr>
        <w:pStyle w:val="Default"/>
        <w:rPr>
          <w:rFonts w:ascii="Calibri" w:hAnsi="Calibri"/>
          <w:iCs/>
        </w:rPr>
      </w:pPr>
      <w:r w:rsidRPr="000560BB">
        <w:rPr>
          <w:rFonts w:ascii="Calibri" w:hAnsi="Calibri"/>
          <w:iCs/>
        </w:rPr>
        <w:t>“Maintain a record of the movements of hardware and electronic media and any person responsible therefore</w:t>
      </w:r>
      <w:proofErr w:type="gramStart"/>
      <w:r w:rsidRPr="000560BB">
        <w:rPr>
          <w:rFonts w:ascii="Calibri" w:hAnsi="Calibri"/>
          <w:iCs/>
        </w:rPr>
        <w:t>..”</w:t>
      </w:r>
      <w:proofErr w:type="gramEnd"/>
    </w:p>
    <w:p w14:paraId="597BC703" w14:textId="77777777" w:rsidR="0055740E" w:rsidRDefault="0055740E" w:rsidP="008A1F25">
      <w:pPr>
        <w:spacing w:after="0" w:line="240" w:lineRule="auto"/>
        <w:rPr>
          <w:b/>
          <w:sz w:val="24"/>
          <w:szCs w:val="24"/>
        </w:rPr>
      </w:pPr>
    </w:p>
    <w:p w14:paraId="7C8E9C45" w14:textId="77777777" w:rsidR="008A1F25" w:rsidRDefault="008A1F25" w:rsidP="008A1F2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546118">
        <w:rPr>
          <w:b/>
          <w:caps/>
          <w:sz w:val="24"/>
          <w:szCs w:val="24"/>
        </w:rPr>
        <w:t>urpose</w:t>
      </w:r>
      <w:r>
        <w:rPr>
          <w:b/>
          <w:sz w:val="24"/>
          <w:szCs w:val="24"/>
        </w:rPr>
        <w:t>:</w:t>
      </w:r>
    </w:p>
    <w:p w14:paraId="060E0FA3" w14:textId="15B6680C" w:rsidR="009B7A81" w:rsidRDefault="003721CE" w:rsidP="008A1F25">
      <w:pPr>
        <w:spacing w:after="0" w:line="240" w:lineRule="auto"/>
        <w:rPr>
          <w:sz w:val="24"/>
          <w:szCs w:val="24"/>
        </w:rPr>
      </w:pPr>
      <w:r>
        <w:t>[Employer]</w:t>
      </w:r>
      <w:r w:rsidR="00AF6D9A">
        <w:t xml:space="preserve"> </w:t>
      </w:r>
      <w:r w:rsidR="008A1F25">
        <w:rPr>
          <w:sz w:val="24"/>
          <w:szCs w:val="24"/>
        </w:rPr>
        <w:t xml:space="preserve">strives to protect the confidentiality, integrity and availability of ePHI by taking reasonable and appropriate steps to establish and implement documented </w:t>
      </w:r>
      <w:r w:rsidR="00F02090">
        <w:rPr>
          <w:sz w:val="24"/>
          <w:szCs w:val="24"/>
        </w:rPr>
        <w:t>accountability</w:t>
      </w:r>
      <w:r w:rsidR="009B7A81">
        <w:rPr>
          <w:sz w:val="24"/>
          <w:szCs w:val="24"/>
        </w:rPr>
        <w:t xml:space="preserve"> policies and procedures</w:t>
      </w:r>
      <w:r w:rsidR="00AF6D9A">
        <w:rPr>
          <w:sz w:val="24"/>
          <w:szCs w:val="24"/>
        </w:rPr>
        <w:t xml:space="preserve">, ensuring that </w:t>
      </w:r>
      <w:r w:rsidR="00F02090">
        <w:rPr>
          <w:sz w:val="24"/>
          <w:szCs w:val="24"/>
        </w:rPr>
        <w:t xml:space="preserve">an accurate record of the movement of </w:t>
      </w:r>
      <w:r w:rsidR="00AF6D9A">
        <w:rPr>
          <w:sz w:val="24"/>
          <w:szCs w:val="24"/>
        </w:rPr>
        <w:t xml:space="preserve">electronic media containing ePHI is </w:t>
      </w:r>
      <w:r w:rsidR="00F02090">
        <w:rPr>
          <w:sz w:val="24"/>
          <w:szCs w:val="24"/>
        </w:rPr>
        <w:t>maintained and monitored</w:t>
      </w:r>
      <w:r w:rsidR="00AF6D9A">
        <w:rPr>
          <w:sz w:val="24"/>
          <w:szCs w:val="24"/>
        </w:rPr>
        <w:t xml:space="preserve">. </w:t>
      </w:r>
    </w:p>
    <w:p w14:paraId="647A8A66" w14:textId="77777777" w:rsidR="00AF6D9A" w:rsidRDefault="00AF6D9A" w:rsidP="008A1F25">
      <w:pPr>
        <w:spacing w:after="0" w:line="240" w:lineRule="auto"/>
        <w:rPr>
          <w:sz w:val="24"/>
          <w:szCs w:val="24"/>
        </w:rPr>
      </w:pPr>
    </w:p>
    <w:p w14:paraId="4C1C4F02" w14:textId="77C6A48B" w:rsidR="009B7A81" w:rsidRDefault="009B7A81" w:rsidP="008A1F25">
      <w:pPr>
        <w:spacing w:after="0" w:line="240" w:lineRule="auto"/>
      </w:pPr>
      <w:r>
        <w:rPr>
          <w:sz w:val="24"/>
          <w:szCs w:val="24"/>
        </w:rPr>
        <w:t xml:space="preserve">Media </w:t>
      </w:r>
      <w:r w:rsidR="008C4BF6">
        <w:rPr>
          <w:sz w:val="24"/>
          <w:szCs w:val="24"/>
        </w:rPr>
        <w:t>accountability</w:t>
      </w:r>
      <w:r w:rsidR="002828C7">
        <w:rPr>
          <w:sz w:val="24"/>
          <w:szCs w:val="24"/>
        </w:rPr>
        <w:t xml:space="preserve"> procedures</w:t>
      </w:r>
      <w:r>
        <w:rPr>
          <w:sz w:val="24"/>
          <w:szCs w:val="24"/>
        </w:rPr>
        <w:t xml:space="preserve"> are established to prevent the loss of confidentiality, integrity, or availability of ePHI. </w:t>
      </w:r>
      <w:r w:rsidR="008C4BF6">
        <w:rPr>
          <w:sz w:val="24"/>
          <w:szCs w:val="24"/>
        </w:rPr>
        <w:t xml:space="preserve">All portable media will be accounted for at all times. </w:t>
      </w:r>
      <w:r>
        <w:t xml:space="preserve"> </w:t>
      </w:r>
    </w:p>
    <w:p w14:paraId="7FFD1F66" w14:textId="77777777" w:rsidR="003E1085" w:rsidRDefault="003E1085" w:rsidP="008A1F25">
      <w:pPr>
        <w:spacing w:after="0" w:line="240" w:lineRule="auto"/>
      </w:pPr>
    </w:p>
    <w:p w14:paraId="2CAA7C4C" w14:textId="5DA0FCB6" w:rsidR="003E1085" w:rsidRDefault="003E1085" w:rsidP="008A1F25">
      <w:pPr>
        <w:spacing w:after="0" w:line="240" w:lineRule="auto"/>
      </w:pPr>
      <w:r>
        <w:t xml:space="preserve">Portable media would be defined as media that is transferred between users in a facility, transferred between facilities, and/or is transferred out of the practice setting to a personal setting. </w:t>
      </w:r>
    </w:p>
    <w:p w14:paraId="750FE567" w14:textId="77777777" w:rsidR="008A1F25" w:rsidRDefault="008A1F25" w:rsidP="008A1F25">
      <w:pPr>
        <w:spacing w:after="0" w:line="240" w:lineRule="auto"/>
        <w:rPr>
          <w:sz w:val="24"/>
          <w:szCs w:val="24"/>
        </w:rPr>
      </w:pPr>
    </w:p>
    <w:p w14:paraId="7DE08CE9" w14:textId="77777777" w:rsidR="008A1F25" w:rsidRDefault="008A1F25" w:rsidP="008A1F25">
      <w:pPr>
        <w:tabs>
          <w:tab w:val="left" w:pos="16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POLICY:</w:t>
      </w:r>
    </w:p>
    <w:p w14:paraId="2A8AC773" w14:textId="68F1DB0B" w:rsidR="0055740E" w:rsidRDefault="003721CE" w:rsidP="002828C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[Employee and Employer]</w:t>
      </w:r>
      <w:r w:rsidR="002828C7">
        <w:rPr>
          <w:sz w:val="24"/>
          <w:szCs w:val="24"/>
        </w:rPr>
        <w:t xml:space="preserve"> shall </w:t>
      </w:r>
      <w:r w:rsidR="008C4BF6">
        <w:rPr>
          <w:sz w:val="24"/>
          <w:szCs w:val="24"/>
        </w:rPr>
        <w:t xml:space="preserve">account for portable </w:t>
      </w:r>
      <w:r w:rsidR="002828C7">
        <w:rPr>
          <w:sz w:val="24"/>
          <w:szCs w:val="24"/>
        </w:rPr>
        <w:t xml:space="preserve">electronic media as outlined below. </w:t>
      </w:r>
    </w:p>
    <w:p w14:paraId="09950004" w14:textId="70A00286" w:rsidR="008A1F25" w:rsidRDefault="00BA41DD" w:rsidP="008C4BF6">
      <w:pPr>
        <w:pStyle w:val="ListParagraph"/>
        <w:numPr>
          <w:ilvl w:val="0"/>
          <w:numId w:val="5"/>
        </w:numPr>
        <w:tabs>
          <w:tab w:val="left" w:pos="2610"/>
        </w:tabs>
        <w:ind w:left="900"/>
        <w:rPr>
          <w:sz w:val="24"/>
          <w:szCs w:val="24"/>
        </w:rPr>
      </w:pPr>
      <w:r>
        <w:rPr>
          <w:sz w:val="24"/>
          <w:szCs w:val="24"/>
        </w:rPr>
        <w:t>Identify portable media that contains portable media</w:t>
      </w:r>
    </w:p>
    <w:p w14:paraId="6CDCE091" w14:textId="36D696EE" w:rsidR="00BA41DD" w:rsidRDefault="006D6D27" w:rsidP="00BA41DD">
      <w:pPr>
        <w:pStyle w:val="ListParagraph"/>
        <w:numPr>
          <w:ilvl w:val="1"/>
          <w:numId w:val="5"/>
        </w:numPr>
        <w:tabs>
          <w:tab w:val="left" w:pos="2610"/>
        </w:tabs>
        <w:ind w:left="1260"/>
        <w:rPr>
          <w:sz w:val="24"/>
          <w:szCs w:val="24"/>
        </w:rPr>
      </w:pPr>
      <w:r>
        <w:rPr>
          <w:sz w:val="24"/>
          <w:szCs w:val="24"/>
        </w:rPr>
        <w:t>Laptops</w:t>
      </w:r>
    </w:p>
    <w:p w14:paraId="6168F63C" w14:textId="40BF93F6" w:rsidR="006D6D27" w:rsidRDefault="006D6D27" w:rsidP="006D6D27">
      <w:pPr>
        <w:pStyle w:val="ListParagraph"/>
        <w:numPr>
          <w:ilvl w:val="1"/>
          <w:numId w:val="5"/>
        </w:numPr>
        <w:tabs>
          <w:tab w:val="left" w:pos="2610"/>
        </w:tabs>
        <w:ind w:left="1260"/>
        <w:rPr>
          <w:sz w:val="24"/>
          <w:szCs w:val="24"/>
        </w:rPr>
      </w:pPr>
      <w:r>
        <w:rPr>
          <w:sz w:val="24"/>
          <w:szCs w:val="24"/>
        </w:rPr>
        <w:t>External Hard drives</w:t>
      </w:r>
    </w:p>
    <w:p w14:paraId="4380D6DC" w14:textId="4DB60627" w:rsidR="006D6D27" w:rsidRDefault="006D6D27" w:rsidP="006D6D27">
      <w:pPr>
        <w:pStyle w:val="ListParagraph"/>
        <w:numPr>
          <w:ilvl w:val="1"/>
          <w:numId w:val="5"/>
        </w:numPr>
        <w:tabs>
          <w:tab w:val="left" w:pos="2610"/>
        </w:tabs>
        <w:ind w:left="1260"/>
        <w:rPr>
          <w:sz w:val="24"/>
          <w:szCs w:val="24"/>
        </w:rPr>
      </w:pPr>
      <w:r>
        <w:rPr>
          <w:sz w:val="24"/>
          <w:szCs w:val="24"/>
        </w:rPr>
        <w:t>Thumb Drive</w:t>
      </w:r>
    </w:p>
    <w:p w14:paraId="109C0D47" w14:textId="19236CD0" w:rsidR="006D6D27" w:rsidRDefault="006D6D27" w:rsidP="006D6D27">
      <w:pPr>
        <w:pStyle w:val="ListParagraph"/>
        <w:numPr>
          <w:ilvl w:val="1"/>
          <w:numId w:val="5"/>
        </w:numPr>
        <w:tabs>
          <w:tab w:val="left" w:pos="2610"/>
        </w:tabs>
        <w:ind w:left="1260"/>
        <w:rPr>
          <w:sz w:val="24"/>
          <w:szCs w:val="24"/>
        </w:rPr>
      </w:pPr>
      <w:r>
        <w:rPr>
          <w:sz w:val="24"/>
          <w:szCs w:val="24"/>
        </w:rPr>
        <w:t>Cassette Tapes</w:t>
      </w:r>
    </w:p>
    <w:p w14:paraId="5B16EA32" w14:textId="76D1C736" w:rsidR="006D6D27" w:rsidRDefault="006D6D27" w:rsidP="006D6D27">
      <w:pPr>
        <w:pStyle w:val="ListParagraph"/>
        <w:numPr>
          <w:ilvl w:val="1"/>
          <w:numId w:val="5"/>
        </w:numPr>
        <w:tabs>
          <w:tab w:val="left" w:pos="2610"/>
        </w:tabs>
        <w:ind w:left="1260"/>
        <w:rPr>
          <w:sz w:val="24"/>
          <w:szCs w:val="24"/>
        </w:rPr>
      </w:pPr>
      <w:r>
        <w:rPr>
          <w:sz w:val="24"/>
          <w:szCs w:val="24"/>
        </w:rPr>
        <w:t>Back Up Tapes</w:t>
      </w:r>
    </w:p>
    <w:p w14:paraId="7F122992" w14:textId="68D46883" w:rsidR="006D6D27" w:rsidRDefault="006D6D27" w:rsidP="006D6D27">
      <w:pPr>
        <w:pStyle w:val="ListParagraph"/>
        <w:numPr>
          <w:ilvl w:val="1"/>
          <w:numId w:val="5"/>
        </w:numPr>
        <w:tabs>
          <w:tab w:val="left" w:pos="2610"/>
        </w:tabs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Any other portable media that </w:t>
      </w:r>
    </w:p>
    <w:p w14:paraId="45C13444" w14:textId="6CD83406" w:rsidR="00FC1AC6" w:rsidRDefault="00886A22" w:rsidP="00FC1AC6">
      <w:pPr>
        <w:pStyle w:val="ListParagraph"/>
        <w:numPr>
          <w:ilvl w:val="0"/>
          <w:numId w:val="5"/>
        </w:numPr>
        <w:tabs>
          <w:tab w:val="left" w:pos="261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Maintain</w:t>
      </w:r>
      <w:r w:rsidR="00650380">
        <w:rPr>
          <w:sz w:val="24"/>
          <w:szCs w:val="24"/>
        </w:rPr>
        <w:t xml:space="preserve"> a Check Out/</w:t>
      </w:r>
      <w:r>
        <w:rPr>
          <w:sz w:val="24"/>
          <w:szCs w:val="24"/>
        </w:rPr>
        <w:t xml:space="preserve">In log for portable media </w:t>
      </w:r>
    </w:p>
    <w:p w14:paraId="79406688" w14:textId="09CBC526" w:rsidR="00886A22" w:rsidRDefault="00886A22" w:rsidP="00FC1AC6">
      <w:pPr>
        <w:pStyle w:val="ListParagraph"/>
        <w:numPr>
          <w:ilvl w:val="0"/>
          <w:numId w:val="5"/>
        </w:numPr>
        <w:tabs>
          <w:tab w:val="left" w:pos="2610"/>
        </w:tabs>
        <w:ind w:left="900"/>
        <w:rPr>
          <w:sz w:val="24"/>
          <w:szCs w:val="24"/>
        </w:rPr>
      </w:pPr>
      <w:r>
        <w:rPr>
          <w:sz w:val="24"/>
          <w:szCs w:val="24"/>
        </w:rPr>
        <w:t>Periodically review the log to ensure all portable media is properly accounted for</w:t>
      </w:r>
    </w:p>
    <w:p w14:paraId="7F5C0F81" w14:textId="77777777" w:rsidR="00886A22" w:rsidRPr="006D6D27" w:rsidRDefault="00886A22" w:rsidP="00886A22">
      <w:pPr>
        <w:pStyle w:val="ListParagraph"/>
        <w:tabs>
          <w:tab w:val="left" w:pos="2610"/>
        </w:tabs>
        <w:ind w:left="900"/>
        <w:rPr>
          <w:sz w:val="24"/>
          <w:szCs w:val="24"/>
        </w:rPr>
      </w:pPr>
    </w:p>
    <w:sectPr w:rsidR="00886A22" w:rsidRPr="006D6D27" w:rsidSect="001A2893">
      <w:headerReference w:type="default" r:id="rId9"/>
      <w:footerReference w:type="default" r:id="rId10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0ECAC" w14:textId="77777777" w:rsidR="00271B74" w:rsidRDefault="00271B74" w:rsidP="003E067D">
      <w:pPr>
        <w:spacing w:after="0" w:line="240" w:lineRule="auto"/>
      </w:pPr>
      <w:r>
        <w:separator/>
      </w:r>
    </w:p>
  </w:endnote>
  <w:endnote w:type="continuationSeparator" w:id="0">
    <w:p w14:paraId="529420B9" w14:textId="77777777" w:rsidR="00271B74" w:rsidRDefault="00271B74" w:rsidP="003E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44A28" w14:textId="77777777" w:rsidR="00650380" w:rsidRDefault="00650380" w:rsidP="001A2893">
    <w:pPr>
      <w:pStyle w:val="Footer"/>
      <w:jc w:val="right"/>
    </w:pPr>
    <w:r>
      <w:t>Accountability Policy v1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02069" w14:textId="77777777" w:rsidR="00271B74" w:rsidRDefault="00271B74" w:rsidP="003E067D">
      <w:pPr>
        <w:spacing w:after="0" w:line="240" w:lineRule="auto"/>
      </w:pPr>
      <w:r>
        <w:separator/>
      </w:r>
    </w:p>
  </w:footnote>
  <w:footnote w:type="continuationSeparator" w:id="0">
    <w:p w14:paraId="38F2C8F5" w14:textId="77777777" w:rsidR="00271B74" w:rsidRDefault="00271B74" w:rsidP="003E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91F22" w14:textId="2289E606" w:rsidR="00650380" w:rsidRDefault="00806EC3" w:rsidP="003E067D">
    <w:pPr>
      <w:pStyle w:val="Header"/>
      <w:jc w:val="center"/>
    </w:pPr>
    <w:r>
      <w:rPr>
        <w:noProof/>
      </w:rPr>
      <w:t>Covered Entity</w:t>
    </w:r>
  </w:p>
  <w:p w14:paraId="0E1C31E6" w14:textId="77777777" w:rsidR="00650380" w:rsidRDefault="006503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C75"/>
    <w:multiLevelType w:val="hybridMultilevel"/>
    <w:tmpl w:val="3E06E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E6DB3"/>
    <w:multiLevelType w:val="hybridMultilevel"/>
    <w:tmpl w:val="9224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94D04"/>
    <w:multiLevelType w:val="hybridMultilevel"/>
    <w:tmpl w:val="9A901118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>
    <w:nsid w:val="60461B18"/>
    <w:multiLevelType w:val="hybridMultilevel"/>
    <w:tmpl w:val="43941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00E30"/>
    <w:multiLevelType w:val="hybridMultilevel"/>
    <w:tmpl w:val="F67EE4EE"/>
    <w:lvl w:ilvl="0" w:tplc="0409000F">
      <w:start w:val="1"/>
      <w:numFmt w:val="decimal"/>
      <w:lvlText w:val="%1."/>
      <w:lvlJc w:val="left"/>
      <w:pPr>
        <w:ind w:left="3340" w:hanging="360"/>
      </w:pPr>
    </w:lvl>
    <w:lvl w:ilvl="1" w:tplc="04090019">
      <w:start w:val="1"/>
      <w:numFmt w:val="lowerLetter"/>
      <w:lvlText w:val="%2."/>
      <w:lvlJc w:val="left"/>
      <w:pPr>
        <w:ind w:left="4060" w:hanging="360"/>
      </w:pPr>
    </w:lvl>
    <w:lvl w:ilvl="2" w:tplc="0409001B" w:tentative="1">
      <w:start w:val="1"/>
      <w:numFmt w:val="lowerRoman"/>
      <w:lvlText w:val="%3."/>
      <w:lvlJc w:val="right"/>
      <w:pPr>
        <w:ind w:left="4780" w:hanging="180"/>
      </w:pPr>
    </w:lvl>
    <w:lvl w:ilvl="3" w:tplc="0409000F" w:tentative="1">
      <w:start w:val="1"/>
      <w:numFmt w:val="decimal"/>
      <w:lvlText w:val="%4."/>
      <w:lvlJc w:val="left"/>
      <w:pPr>
        <w:ind w:left="5500" w:hanging="360"/>
      </w:pPr>
    </w:lvl>
    <w:lvl w:ilvl="4" w:tplc="04090019" w:tentative="1">
      <w:start w:val="1"/>
      <w:numFmt w:val="lowerLetter"/>
      <w:lvlText w:val="%5."/>
      <w:lvlJc w:val="left"/>
      <w:pPr>
        <w:ind w:left="6220" w:hanging="360"/>
      </w:pPr>
    </w:lvl>
    <w:lvl w:ilvl="5" w:tplc="0409001B" w:tentative="1">
      <w:start w:val="1"/>
      <w:numFmt w:val="lowerRoman"/>
      <w:lvlText w:val="%6."/>
      <w:lvlJc w:val="right"/>
      <w:pPr>
        <w:ind w:left="6940" w:hanging="180"/>
      </w:pPr>
    </w:lvl>
    <w:lvl w:ilvl="6" w:tplc="0409000F" w:tentative="1">
      <w:start w:val="1"/>
      <w:numFmt w:val="decimal"/>
      <w:lvlText w:val="%7."/>
      <w:lvlJc w:val="left"/>
      <w:pPr>
        <w:ind w:left="7660" w:hanging="360"/>
      </w:pPr>
    </w:lvl>
    <w:lvl w:ilvl="7" w:tplc="04090019" w:tentative="1">
      <w:start w:val="1"/>
      <w:numFmt w:val="lowerLetter"/>
      <w:lvlText w:val="%8."/>
      <w:lvlJc w:val="left"/>
      <w:pPr>
        <w:ind w:left="8380" w:hanging="360"/>
      </w:pPr>
    </w:lvl>
    <w:lvl w:ilvl="8" w:tplc="0409001B" w:tentative="1">
      <w:start w:val="1"/>
      <w:numFmt w:val="lowerRoman"/>
      <w:lvlText w:val="%9."/>
      <w:lvlJc w:val="right"/>
      <w:pPr>
        <w:ind w:left="91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3E"/>
    <w:rsid w:val="00060902"/>
    <w:rsid w:val="00076865"/>
    <w:rsid w:val="00091497"/>
    <w:rsid w:val="000F3D66"/>
    <w:rsid w:val="001166F5"/>
    <w:rsid w:val="001573E9"/>
    <w:rsid w:val="00194145"/>
    <w:rsid w:val="001A2893"/>
    <w:rsid w:val="002102B9"/>
    <w:rsid w:val="00271B74"/>
    <w:rsid w:val="002828C7"/>
    <w:rsid w:val="002849C0"/>
    <w:rsid w:val="00330115"/>
    <w:rsid w:val="00331555"/>
    <w:rsid w:val="003721CE"/>
    <w:rsid w:val="003E067D"/>
    <w:rsid w:val="003E1085"/>
    <w:rsid w:val="00455964"/>
    <w:rsid w:val="00477156"/>
    <w:rsid w:val="004C6268"/>
    <w:rsid w:val="004F1A1D"/>
    <w:rsid w:val="004F7EB9"/>
    <w:rsid w:val="0051450C"/>
    <w:rsid w:val="0051627B"/>
    <w:rsid w:val="00536D38"/>
    <w:rsid w:val="0055740E"/>
    <w:rsid w:val="0056250F"/>
    <w:rsid w:val="005713FC"/>
    <w:rsid w:val="005A1034"/>
    <w:rsid w:val="005B1164"/>
    <w:rsid w:val="005B3D21"/>
    <w:rsid w:val="005B7E64"/>
    <w:rsid w:val="0062570B"/>
    <w:rsid w:val="00650380"/>
    <w:rsid w:val="00684A62"/>
    <w:rsid w:val="006B2C5D"/>
    <w:rsid w:val="006D3707"/>
    <w:rsid w:val="006D6D27"/>
    <w:rsid w:val="006E71F3"/>
    <w:rsid w:val="00713268"/>
    <w:rsid w:val="00724FBC"/>
    <w:rsid w:val="00796C53"/>
    <w:rsid w:val="007B1C64"/>
    <w:rsid w:val="00806EC3"/>
    <w:rsid w:val="0081188A"/>
    <w:rsid w:val="008376F0"/>
    <w:rsid w:val="00837F73"/>
    <w:rsid w:val="008860C3"/>
    <w:rsid w:val="00886A22"/>
    <w:rsid w:val="008947CF"/>
    <w:rsid w:val="008A1F25"/>
    <w:rsid w:val="008A61A7"/>
    <w:rsid w:val="008B6116"/>
    <w:rsid w:val="008C4BF6"/>
    <w:rsid w:val="008F4368"/>
    <w:rsid w:val="008F7FDF"/>
    <w:rsid w:val="009303F2"/>
    <w:rsid w:val="009B7A81"/>
    <w:rsid w:val="00A05228"/>
    <w:rsid w:val="00A84C0F"/>
    <w:rsid w:val="00AC6DE7"/>
    <w:rsid w:val="00AF6D9A"/>
    <w:rsid w:val="00B02243"/>
    <w:rsid w:val="00B22475"/>
    <w:rsid w:val="00BA41DD"/>
    <w:rsid w:val="00C65FBD"/>
    <w:rsid w:val="00D14A57"/>
    <w:rsid w:val="00D30EFC"/>
    <w:rsid w:val="00D53A00"/>
    <w:rsid w:val="00D6133E"/>
    <w:rsid w:val="00E83872"/>
    <w:rsid w:val="00E96D02"/>
    <w:rsid w:val="00F02090"/>
    <w:rsid w:val="00F12A40"/>
    <w:rsid w:val="00F439B0"/>
    <w:rsid w:val="00F57511"/>
    <w:rsid w:val="00F662BA"/>
    <w:rsid w:val="00FC1AC6"/>
    <w:rsid w:val="00FC2DE5"/>
    <w:rsid w:val="00FD0980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EB00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F25"/>
    <w:pPr>
      <w:ind w:left="720"/>
      <w:contextualSpacing/>
    </w:pPr>
  </w:style>
  <w:style w:type="paragraph" w:customStyle="1" w:styleId="Default">
    <w:name w:val="Default"/>
    <w:rsid w:val="009B7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geContent">
    <w:name w:val="PageContent"/>
    <w:basedOn w:val="Normal"/>
    <w:link w:val="PageContentChar"/>
    <w:rsid w:val="009B7A81"/>
    <w:pPr>
      <w:spacing w:before="120"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PageContentChar">
    <w:name w:val="PageContent Char"/>
    <w:basedOn w:val="DefaultParagraphFont"/>
    <w:link w:val="PageContent"/>
    <w:rsid w:val="009B7A81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0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67D"/>
  </w:style>
  <w:style w:type="paragraph" w:styleId="Footer">
    <w:name w:val="footer"/>
    <w:basedOn w:val="Normal"/>
    <w:link w:val="FooterChar"/>
    <w:uiPriority w:val="99"/>
    <w:unhideWhenUsed/>
    <w:rsid w:val="003E0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F25"/>
    <w:pPr>
      <w:ind w:left="720"/>
      <w:contextualSpacing/>
    </w:pPr>
  </w:style>
  <w:style w:type="paragraph" w:customStyle="1" w:styleId="Default">
    <w:name w:val="Default"/>
    <w:rsid w:val="009B7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geContent">
    <w:name w:val="PageContent"/>
    <w:basedOn w:val="Normal"/>
    <w:link w:val="PageContentChar"/>
    <w:rsid w:val="009B7A81"/>
    <w:pPr>
      <w:spacing w:before="120"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PageContentChar">
    <w:name w:val="PageContent Char"/>
    <w:basedOn w:val="DefaultParagraphFont"/>
    <w:link w:val="PageContent"/>
    <w:rsid w:val="009B7A81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0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67D"/>
  </w:style>
  <w:style w:type="paragraph" w:styleId="Footer">
    <w:name w:val="footer"/>
    <w:basedOn w:val="Normal"/>
    <w:link w:val="FooterChar"/>
    <w:uiPriority w:val="99"/>
    <w:unhideWhenUsed/>
    <w:rsid w:val="003E0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847F-B793-4F28-84BA-B980621B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Badahman</dc:creator>
  <cp:lastModifiedBy>critter</cp:lastModifiedBy>
  <cp:revision>4</cp:revision>
  <cp:lastPrinted>2013-09-09T01:36:00Z</cp:lastPrinted>
  <dcterms:created xsi:type="dcterms:W3CDTF">2014-08-08T15:36:00Z</dcterms:created>
  <dcterms:modified xsi:type="dcterms:W3CDTF">2014-08-20T23:49:00Z</dcterms:modified>
</cp:coreProperties>
</file>